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spacing w:lineRule="auto" w:line="240"/>
        <w:jc w:val="left"/>
        <w:rPr>
          <w:rFonts w:ascii="ARial" w:hAnsi="ARial"/>
          <w:sz w:val="22"/>
          <w:szCs w:val="22"/>
          <w:highlight w:val="none"/>
          <w:shd w:fill="FFFF00" w:val="clear"/>
        </w:rPr>
      </w:pPr>
      <w:r>
        <w:rPr>
          <w:rFonts w:ascii="ARial" w:hAnsi="ARial"/>
          <w:sz w:val="22"/>
          <w:szCs w:val="22"/>
          <w:shd w:fill="FFFF00" w:val="clear"/>
        </w:rPr>
        <w:t>Leadership Experience</w:t>
      </w:r>
    </w:p>
    <w:p>
      <w:pPr>
        <w:pStyle w:val="TextBody"/>
        <w:numPr>
          <w:ilvl w:val="0"/>
          <w:numId w:val="2"/>
        </w:numPr>
        <w:tabs>
          <w:tab w:val="clear" w:pos="709"/>
          <w:tab w:val="left" w:pos="709" w:leader="none"/>
        </w:tabs>
        <w:bidi w:val="0"/>
        <w:ind w:left="709" w:hanging="283"/>
        <w:jc w:val="left"/>
        <w:rPr/>
      </w:pPr>
      <w:r>
        <w:rPr>
          <w:rStyle w:val="StrongEmphasis"/>
        </w:rPr>
        <w:t>Leadership and Executive Financial Expertise</w:t>
      </w:r>
    </w:p>
    <w:p>
      <w:pPr>
        <w:pStyle w:val="TextBody"/>
        <w:numPr>
          <w:ilvl w:val="1"/>
          <w:numId w:val="2"/>
        </w:numPr>
        <w:tabs>
          <w:tab w:val="clear" w:pos="709"/>
          <w:tab w:val="left" w:pos="1418" w:leader="none"/>
        </w:tabs>
        <w:bidi w:val="0"/>
        <w:ind w:left="1418" w:hanging="283"/>
        <w:jc w:val="left"/>
        <w:rPr/>
      </w:pPr>
      <w:r>
        <w:rPr/>
        <w:t>Proven CFO, Controller, or senior finance leadership experience.</w:t>
      </w:r>
    </w:p>
    <w:p>
      <w:pPr>
        <w:pStyle w:val="TextBody"/>
        <w:numPr>
          <w:ilvl w:val="1"/>
          <w:numId w:val="2"/>
        </w:numPr>
        <w:tabs>
          <w:tab w:val="clear" w:pos="709"/>
          <w:tab w:val="left" w:pos="1418" w:leader="none"/>
        </w:tabs>
        <w:bidi w:val="0"/>
        <w:spacing w:lineRule="auto" w:line="240"/>
        <w:ind w:left="1418" w:hanging="283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Ability to lead finance teams and serve on the executive leadership team.</w:t>
      </w:r>
    </w:p>
    <w:p>
      <w:pPr>
        <w:pStyle w:val="Heading3"/>
        <w:numPr>
          <w:ilvl w:val="2"/>
          <w:numId w:val="3"/>
        </w:numPr>
        <w:tabs>
          <w:tab w:val="clear" w:pos="709"/>
          <w:tab w:val="left" w:pos="2127" w:leader="none"/>
        </w:tabs>
        <w:bidi w:val="0"/>
        <w:ind w:left="2127" w:hanging="283"/>
        <w:jc w:val="left"/>
        <w:rPr/>
      </w:pPr>
      <w:r>
        <w:rPr>
          <w:rStyle w:val="StrongEmphasis"/>
          <w:b/>
        </w:rPr>
        <w:t>Leadership &amp; Strategic Finance</w:t>
      </w:r>
    </w:p>
    <w:p>
      <w:pPr>
        <w:pStyle w:val="TextBody"/>
        <w:numPr>
          <w:ilvl w:val="0"/>
          <w:numId w:val="3"/>
        </w:numPr>
        <w:tabs>
          <w:tab w:val="clear" w:pos="709"/>
          <w:tab w:val="left" w:pos="709" w:leader="none"/>
        </w:tabs>
        <w:bidi w:val="0"/>
        <w:ind w:left="709" w:hanging="283"/>
        <w:jc w:val="left"/>
        <w:rPr/>
      </w:pPr>
      <w:r>
        <w:rPr/>
        <w:t>Proven senior leadership in accounting/finance (10+ years, real estate focus).</w:t>
      </w:r>
    </w:p>
    <w:p>
      <w:pPr>
        <w:pStyle w:val="TextBody"/>
        <w:numPr>
          <w:ilvl w:val="0"/>
          <w:numId w:val="3"/>
        </w:numPr>
        <w:tabs>
          <w:tab w:val="clear" w:pos="709"/>
          <w:tab w:val="left" w:pos="709" w:leader="none"/>
        </w:tabs>
        <w:bidi w:val="0"/>
        <w:ind w:left="709" w:hanging="283"/>
        <w:jc w:val="left"/>
        <w:rPr/>
      </w:pPr>
      <w:r>
        <w:rPr/>
        <w:t>Ability to work closely with the CFO and ownership to drive financial strategy.</w:t>
      </w:r>
    </w:p>
    <w:p>
      <w:pPr>
        <w:pStyle w:val="TextBody"/>
        <w:numPr>
          <w:ilvl w:val="0"/>
          <w:numId w:val="3"/>
        </w:numPr>
        <w:tabs>
          <w:tab w:val="clear" w:pos="709"/>
          <w:tab w:val="left" w:pos="709" w:leader="none"/>
        </w:tabs>
        <w:bidi w:val="0"/>
        <w:spacing w:lineRule="auto" w:line="240"/>
        <w:ind w:left="709" w:hanging="283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Management of corporate accounting teams, audits, and financial reporting cycles.</w:t>
      </w:r>
    </w:p>
    <w:p>
      <w:pPr>
        <w:pStyle w:val="TextBody"/>
        <w:bidi w:val="0"/>
        <w:spacing w:lineRule="auto" w:line="240"/>
        <w:jc w:val="left"/>
        <w:rPr>
          <w:rFonts w:ascii="ARial" w:hAnsi="ARial"/>
          <w:sz w:val="22"/>
          <w:szCs w:val="22"/>
          <w:highlight w:val="none"/>
          <w:shd w:fill="FFFF00" w:val="clear"/>
        </w:rPr>
      </w:pPr>
      <w:r>
        <w:rPr>
          <w:rFonts w:ascii="ARial" w:hAnsi="ARial"/>
          <w:sz w:val="22"/>
          <w:szCs w:val="22"/>
          <w:shd w:fill="FFFF00" w:val="clear"/>
        </w:rPr>
        <w:t>Industry Experience</w:t>
      </w:r>
    </w:p>
    <w:p>
      <w:pPr>
        <w:pStyle w:val="TextBody"/>
        <w:numPr>
          <w:ilvl w:val="0"/>
          <w:numId w:val="2"/>
        </w:numPr>
        <w:tabs>
          <w:tab w:val="clear" w:pos="709"/>
          <w:tab w:val="left" w:pos="709" w:leader="none"/>
        </w:tabs>
        <w:bidi w:val="0"/>
        <w:ind w:left="709" w:hanging="283"/>
        <w:jc w:val="left"/>
        <w:rPr/>
      </w:pPr>
      <w:r>
        <w:rPr>
          <w:rStyle w:val="StrongEmphasis"/>
        </w:rPr>
        <w:t>Industry-Specific Experience</w:t>
      </w:r>
    </w:p>
    <w:p>
      <w:pPr>
        <w:pStyle w:val="TextBody"/>
        <w:numPr>
          <w:ilvl w:val="1"/>
          <w:numId w:val="2"/>
        </w:numPr>
        <w:tabs>
          <w:tab w:val="clear" w:pos="709"/>
          <w:tab w:val="left" w:pos="1418" w:leader="none"/>
        </w:tabs>
        <w:bidi w:val="0"/>
        <w:ind w:left="1418" w:hanging="283"/>
        <w:jc w:val="left"/>
        <w:rPr/>
      </w:pPr>
      <w:r>
        <w:rPr/>
        <w:t>Preference for legal or real estate industries.</w:t>
      </w:r>
    </w:p>
    <w:p>
      <w:pPr>
        <w:pStyle w:val="TextBody"/>
        <w:numPr>
          <w:ilvl w:val="1"/>
          <w:numId w:val="2"/>
        </w:numPr>
        <w:tabs>
          <w:tab w:val="clear" w:pos="709"/>
          <w:tab w:val="left" w:pos="1418" w:leader="none"/>
        </w:tabs>
        <w:bidi w:val="0"/>
        <w:ind w:left="1418" w:hanging="283"/>
        <w:jc w:val="left"/>
        <w:rPr/>
      </w:pPr>
      <w:r>
        <w:rPr/>
        <w:t>Understanding of high-volume transactional businesses.</w:t>
      </w:r>
    </w:p>
    <w:p>
      <w:pPr>
        <w:pStyle w:val="Heading3"/>
        <w:numPr>
          <w:ilvl w:val="0"/>
          <w:numId w:val="0"/>
        </w:numPr>
        <w:bidi w:val="0"/>
        <w:ind w:hanging="0"/>
        <w:jc w:val="left"/>
        <w:rPr/>
      </w:pPr>
      <w:r>
        <w:rPr>
          <w:rStyle w:val="StrongEmphasis"/>
          <w:b/>
        </w:rPr>
        <w:t>Industry-Specific Expertise</w:t>
      </w:r>
    </w:p>
    <w:p>
      <w:pPr>
        <w:pStyle w:val="TextBody"/>
        <w:numPr>
          <w:ilvl w:val="0"/>
          <w:numId w:val="4"/>
        </w:numPr>
        <w:tabs>
          <w:tab w:val="clear" w:pos="709"/>
          <w:tab w:val="left" w:pos="709" w:leader="none"/>
        </w:tabs>
        <w:bidi w:val="0"/>
        <w:ind w:left="709" w:hanging="283"/>
        <w:jc w:val="left"/>
        <w:rPr/>
      </w:pPr>
      <w:r>
        <w:rPr/>
        <w:t>Deep real estate finance background: REITs, open-ended funds, private equity fund structures.</w:t>
      </w:r>
    </w:p>
    <w:p>
      <w:pPr>
        <w:pStyle w:val="TextBody"/>
        <w:numPr>
          <w:ilvl w:val="0"/>
          <w:numId w:val="4"/>
        </w:numPr>
        <w:tabs>
          <w:tab w:val="clear" w:pos="709"/>
          <w:tab w:val="left" w:pos="709" w:leader="none"/>
        </w:tabs>
        <w:bidi w:val="0"/>
        <w:ind w:left="709" w:hanging="283"/>
        <w:jc w:val="left"/>
        <w:rPr/>
      </w:pPr>
      <w:r>
        <w:rPr/>
        <w:t>Familiarity with real estate acquisitions, joint ventures, and capital structuring.</w:t>
      </w:r>
    </w:p>
    <w:p>
      <w:pPr>
        <w:pStyle w:val="TextBody"/>
        <w:numPr>
          <w:ilvl w:val="0"/>
          <w:numId w:val="4"/>
        </w:numPr>
        <w:tabs>
          <w:tab w:val="clear" w:pos="709"/>
          <w:tab w:val="left" w:pos="709" w:leader="none"/>
        </w:tabs>
        <w:bidi w:val="0"/>
        <w:ind w:left="709" w:hanging="283"/>
        <w:jc w:val="left"/>
        <w:rPr/>
      </w:pPr>
      <w:r>
        <w:rPr/>
        <w:t>Exposure to international/commercial real estate markets is a plus.</w:t>
      </w:r>
    </w:p>
    <w:p>
      <w:pPr>
        <w:pStyle w:val="TextBody"/>
        <w:bidi w:val="0"/>
        <w:jc w:val="left"/>
        <w:rPr>
          <w:highlight w:val="none"/>
          <w:shd w:fill="FFFF00" w:val="clear"/>
        </w:rPr>
      </w:pPr>
      <w:r>
        <w:rPr>
          <w:shd w:fill="FFFF00" w:val="clear"/>
        </w:rPr>
        <w:t>Transaction / Compliance</w:t>
      </w:r>
    </w:p>
    <w:p>
      <w:pPr>
        <w:pStyle w:val="TextBody"/>
        <w:numPr>
          <w:ilvl w:val="0"/>
          <w:numId w:val="2"/>
        </w:numPr>
        <w:tabs>
          <w:tab w:val="clear" w:pos="709"/>
          <w:tab w:val="left" w:pos="709" w:leader="none"/>
        </w:tabs>
        <w:bidi w:val="0"/>
        <w:ind w:left="709" w:hanging="283"/>
        <w:jc w:val="left"/>
        <w:rPr/>
      </w:pPr>
      <w:r>
        <w:rPr>
          <w:rStyle w:val="StrongEmphasis"/>
        </w:rPr>
        <w:t>Transaction and Compliance Mastery</w:t>
      </w:r>
    </w:p>
    <w:p>
      <w:pPr>
        <w:pStyle w:val="TextBody"/>
        <w:numPr>
          <w:ilvl w:val="1"/>
          <w:numId w:val="2"/>
        </w:numPr>
        <w:tabs>
          <w:tab w:val="clear" w:pos="709"/>
          <w:tab w:val="left" w:pos="1418" w:leader="none"/>
        </w:tabs>
        <w:bidi w:val="0"/>
        <w:ind w:left="1418" w:hanging="283"/>
        <w:jc w:val="left"/>
        <w:rPr/>
      </w:pPr>
      <w:r>
        <w:rPr/>
        <w:t>Expertise in wire transfer procedures, reconciliations, and cash management.</w:t>
      </w:r>
    </w:p>
    <w:p>
      <w:pPr>
        <w:pStyle w:val="TextBody"/>
        <w:numPr>
          <w:ilvl w:val="1"/>
          <w:numId w:val="2"/>
        </w:numPr>
        <w:tabs>
          <w:tab w:val="clear" w:pos="709"/>
          <w:tab w:val="left" w:pos="1418" w:leader="none"/>
        </w:tabs>
        <w:bidi w:val="0"/>
        <w:ind w:left="1418" w:hanging="283"/>
        <w:jc w:val="left"/>
        <w:rPr/>
      </w:pPr>
      <w:r>
        <w:rPr/>
        <w:t>Familiarity with federal/state financial regulations and trust accounting.</w:t>
      </w:r>
    </w:p>
    <w:p>
      <w:pPr>
        <w:pStyle w:val="TextBody"/>
        <w:numPr>
          <w:ilvl w:val="1"/>
          <w:numId w:val="2"/>
        </w:numPr>
        <w:tabs>
          <w:tab w:val="clear" w:pos="709"/>
          <w:tab w:val="left" w:pos="1418" w:leader="none"/>
        </w:tabs>
        <w:bidi w:val="0"/>
        <w:ind w:left="1418" w:hanging="283"/>
        <w:jc w:val="left"/>
        <w:rPr/>
      </w:pPr>
      <w:r>
        <w:rPr/>
        <w:t>Strong background in internal controls and fraud risk prevention.</w:t>
      </w:r>
    </w:p>
    <w:p>
      <w:pPr>
        <w:pStyle w:val="Heading3"/>
        <w:numPr>
          <w:ilvl w:val="0"/>
          <w:numId w:val="0"/>
        </w:numPr>
        <w:bidi w:val="0"/>
        <w:ind w:hanging="0"/>
        <w:jc w:val="left"/>
        <w:rPr/>
      </w:pPr>
      <w:r>
        <w:rPr>
          <w:rStyle w:val="StrongEmphasis"/>
          <w:b/>
        </w:rPr>
        <w:t>Technical Mastery</w:t>
      </w:r>
    </w:p>
    <w:p>
      <w:pPr>
        <w:pStyle w:val="TextBody"/>
        <w:numPr>
          <w:ilvl w:val="0"/>
          <w:numId w:val="5"/>
        </w:numPr>
        <w:tabs>
          <w:tab w:val="clear" w:pos="709"/>
          <w:tab w:val="left" w:pos="709" w:leader="none"/>
        </w:tabs>
        <w:bidi w:val="0"/>
        <w:ind w:left="709" w:hanging="283"/>
        <w:jc w:val="left"/>
        <w:rPr/>
      </w:pPr>
      <w:r>
        <w:rPr/>
        <w:t>CPA designation with combined public and private experience.</w:t>
      </w:r>
    </w:p>
    <w:p>
      <w:pPr>
        <w:pStyle w:val="TextBody"/>
        <w:numPr>
          <w:ilvl w:val="0"/>
          <w:numId w:val="5"/>
        </w:numPr>
        <w:tabs>
          <w:tab w:val="clear" w:pos="709"/>
          <w:tab w:val="left" w:pos="709" w:leader="none"/>
        </w:tabs>
        <w:bidi w:val="0"/>
        <w:ind w:left="709" w:hanging="283"/>
        <w:jc w:val="left"/>
        <w:rPr/>
      </w:pPr>
      <w:r>
        <w:rPr/>
        <w:t>Strong tax knowledge: private REITs, partnerships, S-Corps, K-1s.</w:t>
      </w:r>
    </w:p>
    <w:p>
      <w:pPr>
        <w:pStyle w:val="TextBody"/>
        <w:numPr>
          <w:ilvl w:val="0"/>
          <w:numId w:val="5"/>
        </w:numPr>
        <w:tabs>
          <w:tab w:val="clear" w:pos="709"/>
          <w:tab w:val="left" w:pos="709" w:leader="none"/>
        </w:tabs>
        <w:bidi w:val="0"/>
        <w:ind w:left="709" w:hanging="283"/>
        <w:jc w:val="left"/>
        <w:rPr/>
      </w:pPr>
      <w:r>
        <w:rPr/>
        <w:t>Hands-on expertise in budgeting, treasury management, cash flow, payroll, and compliance.</w:t>
      </w:r>
    </w:p>
    <w:p>
      <w:pPr>
        <w:pStyle w:val="TextBody"/>
        <w:bidi w:val="0"/>
        <w:jc w:val="left"/>
        <w:rPr/>
      </w:pPr>
      <w:r>
        <w:rPr/>
        <w:t>Analytical / Strategic</w:t>
      </w:r>
    </w:p>
    <w:p>
      <w:pPr>
        <w:pStyle w:val="TextBody"/>
        <w:numPr>
          <w:ilvl w:val="0"/>
          <w:numId w:val="2"/>
        </w:numPr>
        <w:tabs>
          <w:tab w:val="clear" w:pos="709"/>
          <w:tab w:val="left" w:pos="709" w:leader="none"/>
        </w:tabs>
        <w:bidi w:val="0"/>
        <w:ind w:left="709" w:hanging="283"/>
        <w:jc w:val="left"/>
        <w:rPr/>
      </w:pPr>
      <w:r>
        <w:rPr>
          <w:rStyle w:val="StrongEmphasis"/>
        </w:rPr>
        <w:t>Analytical and Strategic Thinking</w:t>
      </w:r>
    </w:p>
    <w:p>
      <w:pPr>
        <w:pStyle w:val="TextBody"/>
        <w:numPr>
          <w:ilvl w:val="1"/>
          <w:numId w:val="2"/>
        </w:numPr>
        <w:tabs>
          <w:tab w:val="clear" w:pos="709"/>
          <w:tab w:val="left" w:pos="1418" w:leader="none"/>
        </w:tabs>
        <w:bidi w:val="0"/>
        <w:ind w:left="1418" w:hanging="283"/>
        <w:jc w:val="left"/>
        <w:rPr/>
      </w:pPr>
      <w:r>
        <w:rPr/>
        <w:t>Budgeting, forecasting, and financial strategy development.</w:t>
      </w:r>
    </w:p>
    <w:p>
      <w:pPr>
        <w:pStyle w:val="TextBody"/>
        <w:numPr>
          <w:ilvl w:val="1"/>
          <w:numId w:val="2"/>
        </w:numPr>
        <w:tabs>
          <w:tab w:val="clear" w:pos="709"/>
          <w:tab w:val="left" w:pos="1418" w:leader="none"/>
        </w:tabs>
        <w:bidi w:val="0"/>
        <w:ind w:left="1418" w:hanging="283"/>
        <w:jc w:val="left"/>
        <w:rPr/>
      </w:pPr>
      <w:r>
        <w:rPr/>
        <w:t>Ability to support firm growth through long-term financial planning.</w:t>
      </w:r>
    </w:p>
    <w:p>
      <w:pPr>
        <w:pStyle w:val="Heading3"/>
        <w:numPr>
          <w:ilvl w:val="0"/>
          <w:numId w:val="0"/>
        </w:numPr>
        <w:bidi w:val="0"/>
        <w:ind w:hanging="0"/>
        <w:jc w:val="left"/>
        <w:rPr/>
      </w:pPr>
      <w:r>
        <w:rPr>
          <w:rStyle w:val="StrongEmphasis"/>
          <w:b/>
        </w:rPr>
        <w:t>Analytical &amp; Reporting Skills</w:t>
      </w:r>
    </w:p>
    <w:p>
      <w:pPr>
        <w:pStyle w:val="TextBody"/>
        <w:numPr>
          <w:ilvl w:val="0"/>
          <w:numId w:val="6"/>
        </w:numPr>
        <w:tabs>
          <w:tab w:val="clear" w:pos="709"/>
          <w:tab w:val="left" w:pos="709" w:leader="none"/>
        </w:tabs>
        <w:bidi w:val="0"/>
        <w:ind w:left="709" w:hanging="283"/>
        <w:jc w:val="left"/>
        <w:rPr/>
      </w:pPr>
      <w:r>
        <w:rPr/>
        <w:t>Comfort with lender reporting and investor distributions.</w:t>
      </w:r>
    </w:p>
    <w:p>
      <w:pPr>
        <w:pStyle w:val="TextBody"/>
        <w:numPr>
          <w:ilvl w:val="0"/>
          <w:numId w:val="6"/>
        </w:numPr>
        <w:tabs>
          <w:tab w:val="clear" w:pos="709"/>
          <w:tab w:val="left" w:pos="709" w:leader="none"/>
        </w:tabs>
        <w:bidi w:val="0"/>
        <w:ind w:left="709" w:hanging="283"/>
        <w:jc w:val="left"/>
        <w:rPr/>
      </w:pPr>
      <w:r>
        <w:rPr/>
        <w:t>Ability to analyze industry trends and present findings in management reports.</w:t>
      </w:r>
    </w:p>
    <w:p>
      <w:pPr>
        <w:pStyle w:val="TextBody"/>
        <w:numPr>
          <w:ilvl w:val="0"/>
          <w:numId w:val="6"/>
        </w:numPr>
        <w:tabs>
          <w:tab w:val="clear" w:pos="709"/>
          <w:tab w:val="left" w:pos="709" w:leader="none"/>
        </w:tabs>
        <w:bidi w:val="0"/>
        <w:ind w:left="709" w:hanging="283"/>
        <w:jc w:val="left"/>
        <w:rPr/>
      </w:pPr>
      <w:r>
        <w:rPr/>
        <w:t>Strong grasp of GAAP and tax compliance requirements.</w:t>
      </w:r>
    </w:p>
    <w:p>
      <w:pPr>
        <w:pStyle w:val="TextBody"/>
        <w:bidi w:val="0"/>
        <w:jc w:val="left"/>
        <w:rPr>
          <w:highlight w:val="none"/>
          <w:shd w:fill="FFFF00" w:val="clear"/>
        </w:rPr>
      </w:pPr>
      <w:r>
        <w:rPr>
          <w:shd w:fill="FFFF00" w:val="clear"/>
        </w:rPr>
        <w:t>Detail oriented</w:t>
      </w:r>
    </w:p>
    <w:p>
      <w:pPr>
        <w:pStyle w:val="TextBody"/>
        <w:numPr>
          <w:ilvl w:val="0"/>
          <w:numId w:val="2"/>
        </w:numPr>
        <w:tabs>
          <w:tab w:val="clear" w:pos="709"/>
          <w:tab w:val="left" w:pos="709" w:leader="none"/>
        </w:tabs>
        <w:bidi w:val="0"/>
        <w:ind w:left="709" w:hanging="283"/>
        <w:jc w:val="left"/>
        <w:rPr/>
      </w:pPr>
      <w:r>
        <w:rPr>
          <w:rStyle w:val="StrongEmphasis"/>
        </w:rPr>
        <w:t xml:space="preserve">Detail Orientation </w:t>
      </w:r>
    </w:p>
    <w:p>
      <w:pPr>
        <w:pStyle w:val="TextBody"/>
        <w:numPr>
          <w:ilvl w:val="1"/>
          <w:numId w:val="2"/>
        </w:numPr>
        <w:tabs>
          <w:tab w:val="clear" w:pos="709"/>
          <w:tab w:val="left" w:pos="1418" w:leader="none"/>
        </w:tabs>
        <w:bidi w:val="0"/>
        <w:ind w:left="1418" w:hanging="283"/>
        <w:jc w:val="left"/>
        <w:rPr/>
      </w:pPr>
      <w:r>
        <w:rPr/>
        <w:t>Extreme attention to detail, ability to spot irregularities.</w:t>
      </w:r>
    </w:p>
    <w:p>
      <w:pPr>
        <w:pStyle w:val="TextBody"/>
        <w:numPr>
          <w:ilvl w:val="1"/>
          <w:numId w:val="2"/>
        </w:numPr>
        <w:tabs>
          <w:tab w:val="clear" w:pos="709"/>
          <w:tab w:val="left" w:pos="1418" w:leader="none"/>
        </w:tabs>
        <w:bidi w:val="0"/>
        <w:ind w:left="1418" w:hanging="283"/>
        <w:jc w:val="left"/>
        <w:rPr/>
      </w:pPr>
      <w:r>
        <w:rPr/>
      </w:r>
    </w:p>
    <w:p>
      <w:pPr>
        <w:pStyle w:val="TextBody"/>
        <w:bidi w:val="0"/>
        <w:jc w:val="left"/>
        <w:rPr>
          <w:b/>
          <w:b/>
          <w:bCs/>
          <w:highlight w:val="none"/>
          <w:shd w:fill="FFFF00" w:val="clear"/>
        </w:rPr>
      </w:pPr>
      <w:r>
        <w:rPr>
          <w:b/>
          <w:bCs/>
          <w:shd w:fill="FFFF00" w:val="clear"/>
        </w:rPr>
        <w:t>Internal Controls / Risk Management</w:t>
      </w:r>
    </w:p>
    <w:p>
      <w:pPr>
        <w:pStyle w:val="TextBody"/>
        <w:bidi w:val="0"/>
        <w:jc w:val="left"/>
        <w:rPr/>
      </w:pPr>
      <w:r>
        <w:rPr>
          <w:rStyle w:val="StrongEmphasis"/>
        </w:rPr>
        <w:t>and Risk Awareness</w:t>
      </w:r>
    </w:p>
    <w:p>
      <w:pPr>
        <w:pStyle w:val="TextBody"/>
        <w:numPr>
          <w:ilvl w:val="1"/>
          <w:numId w:val="7"/>
        </w:numPr>
        <w:tabs>
          <w:tab w:val="clear" w:pos="709"/>
          <w:tab w:val="left" w:pos="1418" w:leader="none"/>
        </w:tabs>
        <w:bidi w:val="0"/>
        <w:ind w:left="1418" w:hanging="283"/>
        <w:jc w:val="left"/>
        <w:rPr/>
      </w:pPr>
      <w:r>
        <w:rPr/>
        <w:t>Mindset toward minimizing financial and fraud risks.</w:t>
      </w:r>
    </w:p>
    <w:p>
      <w:pPr>
        <w:pStyle w:val="Heading3"/>
        <w:numPr>
          <w:ilvl w:val="0"/>
          <w:numId w:val="0"/>
        </w:numPr>
        <w:bidi w:val="0"/>
        <w:ind w:hanging="0"/>
        <w:jc w:val="left"/>
        <w:rPr/>
      </w:pPr>
      <w:r>
        <w:rPr>
          <w:rStyle w:val="StrongEmphasis"/>
          <w:b/>
        </w:rPr>
        <w:t>Operational &amp; Compliance Strength</w:t>
      </w:r>
    </w:p>
    <w:p>
      <w:pPr>
        <w:pStyle w:val="TextBody"/>
        <w:numPr>
          <w:ilvl w:val="0"/>
          <w:numId w:val="8"/>
        </w:numPr>
        <w:tabs>
          <w:tab w:val="clear" w:pos="709"/>
          <w:tab w:val="left" w:pos="709" w:leader="none"/>
        </w:tabs>
        <w:bidi w:val="0"/>
        <w:ind w:left="709" w:hanging="283"/>
        <w:jc w:val="left"/>
        <w:rPr/>
      </w:pPr>
      <w:r>
        <w:rPr/>
        <w:t>Skilled at implementing and monitoring internal controls.</w:t>
      </w:r>
    </w:p>
    <w:p>
      <w:pPr>
        <w:pStyle w:val="TextBody"/>
        <w:numPr>
          <w:ilvl w:val="0"/>
          <w:numId w:val="8"/>
        </w:numPr>
        <w:tabs>
          <w:tab w:val="clear" w:pos="709"/>
          <w:tab w:val="left" w:pos="709" w:leader="none"/>
        </w:tabs>
        <w:bidi w:val="0"/>
        <w:ind w:left="709" w:hanging="283"/>
        <w:jc w:val="left"/>
        <w:rPr/>
      </w:pPr>
      <w:r>
        <w:rPr/>
        <w:t>Experience overseeing audits for corporate entities and investment funds.</w:t>
      </w:r>
    </w:p>
    <w:p>
      <w:pPr>
        <w:pStyle w:val="TextBody"/>
        <w:numPr>
          <w:ilvl w:val="0"/>
          <w:numId w:val="8"/>
        </w:numPr>
        <w:tabs>
          <w:tab w:val="clear" w:pos="709"/>
          <w:tab w:val="left" w:pos="709" w:leader="none"/>
        </w:tabs>
        <w:bidi w:val="0"/>
        <w:ind w:left="709" w:hanging="283"/>
        <w:jc w:val="left"/>
        <w:rPr/>
      </w:pPr>
      <w:r>
        <w:rPr/>
        <w:t>Knowledge of treasury activities, risk management, and compliance frameworks.</w:t>
      </w:r>
    </w:p>
    <w:p>
      <w:pPr>
        <w:pStyle w:val="TextBody"/>
        <w:bidi w:val="0"/>
        <w:jc w:val="left"/>
        <w:rPr>
          <w:highlight w:val="none"/>
          <w:shd w:fill="FFFF00" w:val="clear"/>
        </w:rPr>
      </w:pPr>
      <w:r>
        <w:rPr>
          <w:shd w:fill="FFFF00" w:val="clear"/>
        </w:rPr>
        <w:t>Software</w:t>
      </w:r>
    </w:p>
    <w:p>
      <w:pPr>
        <w:pStyle w:val="TextBody"/>
        <w:numPr>
          <w:ilvl w:val="0"/>
          <w:numId w:val="2"/>
        </w:numPr>
        <w:tabs>
          <w:tab w:val="clear" w:pos="709"/>
          <w:tab w:val="left" w:pos="709" w:leader="none"/>
        </w:tabs>
        <w:bidi w:val="0"/>
        <w:ind w:left="709" w:hanging="283"/>
        <w:jc w:val="left"/>
        <w:rPr/>
      </w:pPr>
      <w:r>
        <w:rPr>
          <w:rStyle w:val="StrongEmphasis"/>
        </w:rPr>
        <w:t xml:space="preserve">Technical and </w:t>
      </w:r>
    </w:p>
    <w:p>
      <w:pPr>
        <w:pStyle w:val="TextBody"/>
        <w:numPr>
          <w:ilvl w:val="1"/>
          <w:numId w:val="2"/>
        </w:numPr>
        <w:tabs>
          <w:tab w:val="clear" w:pos="709"/>
          <w:tab w:val="left" w:pos="1418" w:leader="none"/>
        </w:tabs>
        <w:bidi w:val="0"/>
        <w:ind w:left="1418" w:hanging="283"/>
        <w:jc w:val="left"/>
        <w:rPr/>
      </w:pPr>
      <w:r>
        <w:rPr/>
        <w:t>Proficiency in financial software and advanced Excel.</w:t>
      </w:r>
    </w:p>
    <w:p>
      <w:pPr>
        <w:pStyle w:val="TextBody"/>
        <w:bidi w:val="0"/>
        <w:jc w:val="left"/>
        <w:rPr>
          <w:highlight w:val="none"/>
          <w:shd w:fill="FFFF00" w:val="clear"/>
        </w:rPr>
      </w:pPr>
      <w:r>
        <w:rPr>
          <w:shd w:fill="FFFF00" w:val="clear"/>
        </w:rPr>
        <w:t>Communication</w:t>
      </w:r>
    </w:p>
    <w:p>
      <w:pPr>
        <w:pStyle w:val="TextBody"/>
        <w:bidi w:val="0"/>
        <w:jc w:val="left"/>
        <w:rPr/>
      </w:pPr>
      <w:r>
        <w:rPr>
          <w:rStyle w:val="StrongEmphasis"/>
        </w:rPr>
        <w:t>Communication Skills</w:t>
      </w:r>
    </w:p>
    <w:p>
      <w:pPr>
        <w:pStyle w:val="TextBody"/>
        <w:numPr>
          <w:ilvl w:val="1"/>
          <w:numId w:val="2"/>
        </w:numPr>
        <w:tabs>
          <w:tab w:val="clear" w:pos="709"/>
          <w:tab w:val="left" w:pos="1418" w:leader="none"/>
        </w:tabs>
        <w:bidi w:val="0"/>
        <w:spacing w:lineRule="auto" w:line="240"/>
        <w:ind w:left="1418" w:hanging="283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Strong communication with internal leadership, external accountants, auditors, and institutions.</w:t>
      </w:r>
      <w:r>
        <w:br w:type="page"/>
      </w:r>
    </w:p>
    <w:p>
      <w:pPr>
        <w:pStyle w:val="TextBody"/>
        <w:numPr>
          <w:ilvl w:val="0"/>
          <w:numId w:val="0"/>
        </w:numPr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</w:r>
      <w:r>
        <w:br w:type="page"/>
      </w:r>
    </w:p>
    <w:p>
      <w:pPr>
        <w:pStyle w:val="TextBody"/>
        <w:bidi w:val="0"/>
        <w:spacing w:lineRule="auto" w:line="240"/>
        <w:jc w:val="left"/>
        <w:rPr>
          <w:rFonts w:ascii="ARial" w:hAnsi="ARial"/>
          <w:b/>
          <w:b/>
          <w:bCs/>
          <w:sz w:val="22"/>
          <w:szCs w:val="22"/>
        </w:rPr>
      </w:pPr>
      <w:r>
        <w:rPr>
          <w:rFonts w:ascii="ARial" w:hAnsi="ARial"/>
          <w:b/>
          <w:bCs/>
          <w:sz w:val="22"/>
          <w:szCs w:val="22"/>
        </w:rPr>
        <w:t>Master List of Keywords</w:t>
      </w:r>
    </w:p>
    <w:p>
      <w:pPr>
        <w:pStyle w:val="TextBody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Acquisitions &amp; investments</w:t>
      </w:r>
    </w:p>
    <w:p>
      <w:pPr>
        <w:pStyle w:val="TextBody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Acquisitions &amp; joint ventures</w:t>
      </w:r>
    </w:p>
    <w:p>
      <w:pPr>
        <w:pStyle w:val="TextBody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Advanced Excel modeling</w:t>
      </w:r>
    </w:p>
    <w:p>
      <w:pPr>
        <w:pStyle w:val="TextBody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Asset performance analysis</w:t>
      </w:r>
    </w:p>
    <w:p>
      <w:pPr>
        <w:pStyle w:val="TextBody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Audit oversight</w:t>
      </w:r>
    </w:p>
    <w:p>
      <w:pPr>
        <w:pStyle w:val="TextBody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Audit-ready controllership</w:t>
      </w:r>
    </w:p>
    <w:p>
      <w:pPr>
        <w:pStyle w:val="TextBody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Banking &amp; lender relations</w:t>
      </w:r>
    </w:p>
    <w:p>
      <w:pPr>
        <w:pStyle w:val="TextBody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Budgeting and forecasting</w:t>
      </w:r>
    </w:p>
    <w:p>
      <w:pPr>
        <w:pStyle w:val="TextBody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Business intelligence platforms</w:t>
      </w:r>
    </w:p>
    <w:p>
      <w:pPr>
        <w:pStyle w:val="TextBody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Capital planning</w:t>
      </w:r>
    </w:p>
    <w:p>
      <w:pPr>
        <w:pStyle w:val="TextBody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Cash flow management</w:t>
      </w:r>
    </w:p>
    <w:p>
      <w:pPr>
        <w:pStyle w:val="TextBody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Cash management</w:t>
      </w:r>
    </w:p>
    <w:p>
      <w:pPr>
        <w:pStyle w:val="TextBody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Chief Financial Officer (CFO)</w:t>
      </w:r>
    </w:p>
    <w:p>
      <w:pPr>
        <w:pStyle w:val="TextBody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Chief Financial Officer (CFO) support</w:t>
      </w:r>
    </w:p>
    <w:p>
      <w:pPr>
        <w:pStyle w:val="TextBody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Communication &amp; interpersonal skills</w:t>
      </w:r>
    </w:p>
    <w:p>
      <w:pPr>
        <w:pStyle w:val="TextBody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Compliance (federal, state, local)</w:t>
      </w:r>
    </w:p>
    <w:p>
      <w:pPr>
        <w:pStyle w:val="TextBody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Construction draw / AIA pay-apps</w:t>
      </w:r>
    </w:p>
    <w:p>
      <w:pPr>
        <w:pStyle w:val="TextBody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Controller</w:t>
      </w:r>
    </w:p>
    <w:p>
      <w:pPr>
        <w:pStyle w:val="TextBody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Corporate accounting</w:t>
      </w:r>
    </w:p>
    <w:p>
      <w:pPr>
        <w:pStyle w:val="TextBody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CPA (Certified Public Accountant)</w:t>
      </w:r>
    </w:p>
    <w:p>
      <w:pPr>
        <w:pStyle w:val="TextBody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CPA / MBA</w:t>
      </w:r>
    </w:p>
    <w:p>
      <w:pPr>
        <w:pStyle w:val="TextBody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Customer engagement</w:t>
      </w:r>
    </w:p>
    <w:p>
      <w:pPr>
        <w:pStyle w:val="TextBody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Data analysis / reporting</w:t>
      </w:r>
    </w:p>
    <w:p>
      <w:pPr>
        <w:pStyle w:val="TextBody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External auditors / accountants</w:t>
      </w:r>
    </w:p>
    <w:p>
      <w:pPr>
        <w:pStyle w:val="TextBody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Financial leadership</w:t>
      </w:r>
    </w:p>
    <w:p>
      <w:pPr>
        <w:pStyle w:val="TextBody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Financial planning &amp; forecasting</w:t>
      </w:r>
    </w:p>
    <w:p>
      <w:pPr>
        <w:pStyle w:val="TextBody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Financial reporting</w:t>
      </w:r>
    </w:p>
    <w:p>
      <w:pPr>
        <w:pStyle w:val="TextBody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Financial software</w:t>
      </w:r>
    </w:p>
    <w:p>
      <w:pPr>
        <w:pStyle w:val="TextBody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Financial systems automation</w:t>
      </w:r>
    </w:p>
    <w:p>
      <w:pPr>
        <w:pStyle w:val="TextBody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Financial systems design</w:t>
      </w:r>
    </w:p>
    <w:p>
      <w:pPr>
        <w:pStyle w:val="TextBody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Fractional CFO</w:t>
      </w:r>
    </w:p>
    <w:p>
      <w:pPr>
        <w:pStyle w:val="TextBody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Fraud prevention workflows</w:t>
      </w:r>
    </w:p>
    <w:p>
      <w:pPr>
        <w:pStyle w:val="TextBody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Fraud risk prevention</w:t>
      </w:r>
    </w:p>
    <w:p>
      <w:pPr>
        <w:pStyle w:val="TextBody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Fund CFO / GP-LP equity structures</w:t>
      </w:r>
    </w:p>
    <w:p>
      <w:pPr>
        <w:pStyle w:val="TextBody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High-volume transactions</w:t>
      </w:r>
    </w:p>
    <w:p>
      <w:pPr>
        <w:pStyle w:val="TextBody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Insurance &amp; risk management</w:t>
      </w:r>
    </w:p>
    <w:p>
      <w:pPr>
        <w:pStyle w:val="TextBody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Internal controls</w:t>
      </w:r>
    </w:p>
    <w:p>
      <w:pPr>
        <w:pStyle w:val="TextBody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Investment partnerships / joint ventures</w:t>
      </w:r>
    </w:p>
    <w:p>
      <w:pPr>
        <w:pStyle w:val="TextBody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Investor relations / owner distributions</w:t>
      </w:r>
    </w:p>
    <w:p>
      <w:pPr>
        <w:pStyle w:val="TextBody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Lead generation</w:t>
      </w:r>
    </w:p>
    <w:p>
      <w:pPr>
        <w:pStyle w:val="TextBody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Lender reporting</w:t>
      </w:r>
    </w:p>
    <w:p>
      <w:pPr>
        <w:pStyle w:val="TextBody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LIHTC developments</w:t>
      </w:r>
    </w:p>
    <w:p>
      <w:pPr>
        <w:pStyle w:val="TextBody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Liquidity modeling (13-week, long-horizon)</w:t>
      </w:r>
    </w:p>
    <w:p>
      <w:pPr>
        <w:pStyle w:val="TextBody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Liquidity oversight</w:t>
      </w:r>
    </w:p>
    <w:p>
      <w:pPr>
        <w:pStyle w:val="TextBody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LoanBoss</w:t>
      </w:r>
    </w:p>
    <w:p>
      <w:pPr>
        <w:pStyle w:val="TextBody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Marketing strategy</w:t>
      </w:r>
    </w:p>
    <w:p>
      <w:pPr>
        <w:pStyle w:val="TextBody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Microsoft Excel (advanced)</w:t>
      </w:r>
    </w:p>
    <w:p>
      <w:pPr>
        <w:pStyle w:val="TextBody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Multi-entity cash flow forecasting</w:t>
      </w:r>
    </w:p>
    <w:p>
      <w:pPr>
        <w:pStyle w:val="TextBody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Multifamily real estate investments</w:t>
      </w:r>
    </w:p>
    <w:p>
      <w:pPr>
        <w:pStyle w:val="TextBody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Office operations management</w:t>
      </w:r>
    </w:p>
    <w:p>
      <w:pPr>
        <w:pStyle w:val="TextBody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Open-ended funds</w:t>
      </w:r>
    </w:p>
    <w:p>
      <w:pPr>
        <w:pStyle w:val="TextBody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Organizational skills</w:t>
      </w:r>
    </w:p>
    <w:p>
      <w:pPr>
        <w:pStyle w:val="TextBody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Partnerships / S-Corps / K-1s</w:t>
      </w:r>
    </w:p>
    <w:p>
      <w:pPr>
        <w:pStyle w:val="TextBody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Payroll / 401k compliance</w:t>
      </w:r>
    </w:p>
    <w:p>
      <w:pPr>
        <w:pStyle w:val="TextBody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Performance measurement</w:t>
      </w:r>
    </w:p>
    <w:p>
      <w:pPr>
        <w:pStyle w:val="TextBody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Power BI / Azure</w:t>
      </w:r>
    </w:p>
    <w:p>
      <w:pPr>
        <w:pStyle w:val="TextBody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Private equity / fund accounting</w:t>
      </w:r>
    </w:p>
    <w:p>
      <w:pPr>
        <w:pStyle w:val="TextBody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Private equity fund structures</w:t>
      </w:r>
    </w:p>
    <w:p>
      <w:pPr>
        <w:pStyle w:val="TextBody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Problem-solving mindset</w:t>
      </w:r>
    </w:p>
    <w:p>
      <w:pPr>
        <w:pStyle w:val="TextBody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Process improvement</w:t>
      </w:r>
    </w:p>
    <w:p>
      <w:pPr>
        <w:pStyle w:val="TextBody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Property management software (Yardi, MRI)</w:t>
      </w:r>
    </w:p>
    <w:p>
      <w:pPr>
        <w:pStyle w:val="TextBody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Real estate compliance</w:t>
      </w:r>
    </w:p>
    <w:p>
      <w:pPr>
        <w:pStyle w:val="TextBody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Real estate finance</w:t>
      </w:r>
    </w:p>
    <w:p>
      <w:pPr>
        <w:pStyle w:val="TextBody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Real estate finance / legal finance</w:t>
      </w:r>
    </w:p>
    <w:p>
      <w:pPr>
        <w:pStyle w:val="TextBody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Real Estate Office Manager</w:t>
      </w:r>
    </w:p>
    <w:p>
      <w:pPr>
        <w:pStyle w:val="TextBody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Real estate owner/operator</w:t>
      </w:r>
    </w:p>
    <w:p>
      <w:pPr>
        <w:pStyle w:val="TextBody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Reconciliation</w:t>
      </w:r>
    </w:p>
    <w:p>
      <w:pPr>
        <w:pStyle w:val="TextBody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REITs / private REITs</w:t>
      </w:r>
    </w:p>
    <w:p>
      <w:pPr>
        <w:pStyle w:val="TextBody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Residential &amp; commercial portfolio management</w:t>
      </w:r>
    </w:p>
    <w:p>
      <w:pPr>
        <w:pStyle w:val="TextBody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Retainage / lien waivers</w:t>
      </w:r>
    </w:p>
    <w:p>
      <w:pPr>
        <w:pStyle w:val="TextBody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Senior Director of Finance</w:t>
      </w:r>
    </w:p>
    <w:p>
      <w:pPr>
        <w:pStyle w:val="TextBody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Social media management</w:t>
      </w:r>
    </w:p>
    <w:p>
      <w:pPr>
        <w:pStyle w:val="TextBody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SOP documentation</w:t>
      </w:r>
    </w:p>
    <w:p>
      <w:pPr>
        <w:pStyle w:val="TextBody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Staff mentorship / team coaching</w:t>
      </w:r>
    </w:p>
    <w:p>
      <w:pPr>
        <w:pStyle w:val="TextBody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Strategic financial planning</w:t>
      </w:r>
    </w:p>
    <w:p>
      <w:pPr>
        <w:pStyle w:val="TextBody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Tax compliance / tax planning</w:t>
      </w:r>
    </w:p>
    <w:p>
      <w:pPr>
        <w:pStyle w:val="TextBody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Tax strategy &amp; compliance</w:t>
      </w:r>
    </w:p>
    <w:p>
      <w:pPr>
        <w:pStyle w:val="TextBody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Team leadership / executive leadership</w:t>
      </w:r>
    </w:p>
    <w:p>
      <w:pPr>
        <w:pStyle w:val="TextBody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Team leadership / staff development</w:t>
      </w:r>
    </w:p>
    <w:p>
      <w:pPr>
        <w:pStyle w:val="TextBody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Team leadership / staff management</w:t>
      </w:r>
    </w:p>
    <w:p>
      <w:pPr>
        <w:pStyle w:val="TextBody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Technology-driven operations</w:t>
      </w:r>
    </w:p>
    <w:p>
      <w:pPr>
        <w:pStyle w:val="TextBody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Treasury intelligence</w:t>
      </w:r>
    </w:p>
    <w:p>
      <w:pPr>
        <w:pStyle w:val="TextBody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Treasury management</w:t>
      </w:r>
    </w:p>
    <w:p>
      <w:pPr>
        <w:pStyle w:val="TextBody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Trust accounting</w:t>
      </w:r>
    </w:p>
    <w:p>
      <w:pPr>
        <w:pStyle w:val="TextBody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Wire transfers</w:t>
      </w:r>
    </w:p>
    <w:p>
      <w:pPr>
        <w:pStyle w:val="TextBody"/>
        <w:bidi w:val="0"/>
        <w:spacing w:lineRule="auto" w:line="240" w:before="0" w:after="1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Yardi / Intacct / AppFolio</w:t>
      </w:r>
    </w:p>
    <w:sectPr>
      <w:headerReference w:type="default" r:id="rId2"/>
      <w:footerReference w:type="default" r:id="rId3"/>
      <w:type w:val="nextPage"/>
      <w:pgSz w:w="12240" w:h="15840"/>
      <w:pgMar w:left="1440" w:right="1440" w:gutter="0" w:header="1440" w:top="1716" w:footer="1440" w:bottom="1716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OpenSymbol">
    <w:altName w:val="Arial Unicode MS"/>
    <w:charset w:val="02"/>
    <w:family w:val="auto"/>
    <w:pitch w:val="default"/>
  </w:font>
  <w:font w:name="Liberation Sans">
    <w:altName w:val="Arial"/>
    <w:charset w:val="01"/>
    <w:family w:val="swiss"/>
    <w:pitch w:val="variable"/>
  </w:font>
  <w:font w:name="ARial">
    <w:charset w:val="01"/>
    <w:family w:val="swiss"/>
    <w:pitch w:val="default"/>
  </w:font>
  <w:font w:name="Symbol">
    <w:charset w:val="02"/>
    <w:family w:val="auto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suppressLineNumbers/>
      <w:bidi w:val="0"/>
      <w:jc w:val="left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suppressLineNumbers/>
      <w:bidi w:val="0"/>
      <w:jc w:val="left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hanging="0"/>
      </w:pPr>
    </w:lvl>
    <w:lvl w:ilvl="2">
      <w:start w:val="1"/>
      <w:pStyle w:val="Heading3"/>
      <w:numFmt w:val="none"/>
      <w:suff w:val="nothing"/>
      <w:lvlText w:val="%3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hanging="0"/>
      </w:pPr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709"/>
        </w:tabs>
        <w:ind w:left="709" w:hanging="283"/>
      </w:pPr>
      <w:rPr/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3">
    <w:lvl w:ilvl="0">
      <w:start w:val="1"/>
      <w:numFmt w:val="decimal"/>
      <w:lvlText w:val="%1."/>
      <w:lvlJc w:val="left"/>
      <w:pPr>
        <w:tabs>
          <w:tab w:val="num" w:pos="709"/>
        </w:tabs>
        <w:ind w:left="709" w:hanging="283"/>
      </w:pPr>
      <w:rPr/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4">
    <w:lvl w:ilvl="0">
      <w:start w:val="1"/>
      <w:numFmt w:val="decimal"/>
      <w:lvlText w:val="%1."/>
      <w:lvlJc w:val="left"/>
      <w:pPr>
        <w:tabs>
          <w:tab w:val="num" w:pos="709"/>
        </w:tabs>
        <w:ind w:left="709" w:hanging="283"/>
      </w:pPr>
      <w:rPr/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5">
    <w:lvl w:ilvl="0">
      <w:start w:val="1"/>
      <w:numFmt w:val="decimal"/>
      <w:lvlText w:val="%1."/>
      <w:lvlJc w:val="left"/>
      <w:pPr>
        <w:tabs>
          <w:tab w:val="num" w:pos="709"/>
        </w:tabs>
        <w:ind w:left="709" w:hanging="283"/>
      </w:pPr>
      <w:rPr/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6">
    <w:lvl w:ilvl="0">
      <w:start w:val="1"/>
      <w:numFmt w:val="decimal"/>
      <w:lvlText w:val="%1."/>
      <w:lvlJc w:val="left"/>
      <w:pPr>
        <w:tabs>
          <w:tab w:val="num" w:pos="709"/>
        </w:tabs>
        <w:ind w:left="709" w:hanging="283"/>
      </w:pPr>
      <w:rPr/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7">
    <w:lvl w:ilvl="0">
      <w:start w:val="1"/>
      <w:numFmt w:val="decimal"/>
      <w:lvlText w:val="%1."/>
      <w:lvlJc w:val="left"/>
      <w:pPr>
        <w:tabs>
          <w:tab w:val="num" w:pos="709"/>
        </w:tabs>
        <w:ind w:left="709" w:hanging="283"/>
      </w:pPr>
      <w:rPr/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8">
    <w:lvl w:ilvl="0">
      <w:start w:val="1"/>
      <w:numFmt w:val="decimal"/>
      <w:lvlText w:val="%1."/>
      <w:lvlJc w:val="left"/>
      <w:pPr>
        <w:tabs>
          <w:tab w:val="num" w:pos="709"/>
        </w:tabs>
        <w:ind w:left="709" w:hanging="283"/>
      </w:pPr>
      <w:rPr/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FreeSans"/>
        <w:kern w:val="2"/>
        <w:sz w:val="24"/>
        <w:szCs w:val="24"/>
        <w:lang w:val="en-US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</w:pPr>
    <w:rPr>
      <w:rFonts w:ascii="Liberation Serif" w:hAnsi="Liberation Serif" w:eastAsia="Noto Serif CJK SC" w:cs="FreeSans"/>
      <w:color w:val="auto"/>
      <w:kern w:val="2"/>
      <w:sz w:val="24"/>
      <w:szCs w:val="24"/>
      <w:lang w:val="en-US" w:eastAsia="zh-CN" w:bidi="hi-IN"/>
    </w:rPr>
  </w:style>
  <w:style w:type="paragraph" w:styleId="Heading3">
    <w:name w:val="Heading 3"/>
    <w:basedOn w:val="Heading"/>
    <w:next w:val="TextBody"/>
    <w:qFormat/>
    <w:pPr>
      <w:numPr>
        <w:ilvl w:val="2"/>
        <w:numId w:val="1"/>
      </w:numPr>
      <w:spacing w:before="140" w:after="120"/>
      <w:outlineLvl w:val="2"/>
    </w:pPr>
    <w:rPr>
      <w:rFonts w:ascii="Liberation Serif" w:hAnsi="Liberation Serif" w:eastAsia="Noto Serif CJK SC" w:cs="FreeSans"/>
      <w:b/>
      <w:bCs/>
      <w:sz w:val="28"/>
      <w:szCs w:val="28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character" w:styleId="NumberingSymbols">
    <w:name w:val="Numbering Symbols"/>
    <w:qFormat/>
    <w:rPr/>
  </w:style>
  <w:style w:type="character" w:styleId="StrongEmphasis">
    <w:name w:val="Strong Emphasis"/>
    <w:qFormat/>
    <w:rPr>
      <w:b/>
      <w:bCs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 CJK SC" w:cs="FreeSans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Free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FreeSans"/>
    </w:rPr>
  </w:style>
  <w:style w:type="paragraph" w:styleId="HeaderandFooter">
    <w:name w:val="Header and Footer"/>
    <w:basedOn w:val="Normal"/>
    <w:qFormat/>
    <w:pPr>
      <w:suppressLineNumbers/>
      <w:tabs>
        <w:tab w:val="clear" w:pos="709"/>
        <w:tab w:val="center" w:pos="4680" w:leader="none"/>
        <w:tab w:val="right" w:pos="9360" w:leader="none"/>
      </w:tabs>
    </w:pPr>
    <w:rPr/>
  </w:style>
  <w:style w:type="paragraph" w:styleId="Header">
    <w:name w:val="Header"/>
    <w:basedOn w:val="HeaderandFooter"/>
    <w:pPr>
      <w:suppressLineNumbers/>
    </w:pPr>
    <w:rPr/>
  </w:style>
  <w:style w:type="paragraph" w:styleId="Footer">
    <w:name w:val="Footer"/>
    <w:basedOn w:val="HeaderandFooter"/>
    <w:pPr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Default</Template>
  <TotalTime>8</TotalTime>
  <Application>LibreOffice/7.3.7.2$Linux_X86_64 LibreOffice_project/30$Build-2</Application>
  <AppVersion>15.0000</AppVersion>
  <Pages>6</Pages>
  <Words>629</Words>
  <Characters>4217</Characters>
  <CharactersWithSpaces>4672</CharactersWithSpaces>
  <Paragraphs>137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2025-09-30T12:38:06Z</dcterms:created>
  <dc:creator/>
  <dc:description/>
  <dc:language>en-US</dc:language>
  <cp:lastModifiedBy/>
  <dcterms:modified xsi:type="dcterms:W3CDTF">2025-09-30T12:46:37Z</dcterms:modified>
  <cp:revision>2</cp:revision>
  <dc:subject/>
  <dc:title>Default</dc:title>
</cp:coreProperties>
</file>